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云南省第一人民医院</w:t>
      </w:r>
      <w:r>
        <w:rPr>
          <w:rFonts w:hint="eastAsia"/>
          <w:sz w:val="44"/>
          <w:szCs w:val="44"/>
        </w:rPr>
        <w:t>新昆华医院新增监控存储设备采购及安装项目采购清单</w:t>
      </w:r>
    </w:p>
    <w:p>
      <w:pPr>
        <w:rPr>
          <w:rFonts w:hint="eastAsia"/>
        </w:rPr>
      </w:pPr>
    </w:p>
    <w:tbl>
      <w:tblPr>
        <w:tblStyle w:val="3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123"/>
        <w:gridCol w:w="1949"/>
        <w:gridCol w:w="1920"/>
        <w:gridCol w:w="660"/>
        <w:gridCol w:w="660"/>
        <w:gridCol w:w="75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技术规格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数据中心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网络存储设备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硬盘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监控专业级硬盘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498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硬盘录像机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硬盘录像机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网络交换机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机柜、机架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网络机柜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PDU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电口EC线卡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机房地板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机房抗静电地板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㎡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通讯线缆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双绞线缆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配线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配线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配管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桥架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米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电源柜内断路器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断路器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机房空调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配电柜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室内电源箱AC220V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安装、调试费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76F77"/>
    <w:rsid w:val="582663E7"/>
    <w:rsid w:val="6C0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2020-06-22T08:11:00Z</dcterms:created>
  <dc:creator>Administrator</dc:creator>
  <cp:lastModifiedBy>Administrator</cp:lastModifiedBy>
  <dcterms:modified xsi:type="dcterms:W3CDTF">2020-07-08T02:45:28Z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