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4C" w:rsidRPr="00DB2A86" w:rsidRDefault="00DA584C" w:rsidP="00DA584C">
      <w:pPr>
        <w:pStyle w:val="ac"/>
        <w:rPr>
          <w:rFonts w:hint="eastAsia"/>
        </w:rPr>
      </w:pPr>
      <w:r>
        <w:rPr>
          <w:rFonts w:hint="eastAsia"/>
        </w:rPr>
        <w:t>一、设备信息清单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2427"/>
        <w:gridCol w:w="1116"/>
        <w:gridCol w:w="936"/>
        <w:gridCol w:w="696"/>
        <w:gridCol w:w="696"/>
        <w:gridCol w:w="815"/>
      </w:tblGrid>
      <w:tr w:rsidR="00DA584C" w:rsidRPr="00200C21" w:rsidTr="00FA68E2">
        <w:trPr>
          <w:trHeight w:val="310"/>
        </w:trPr>
        <w:tc>
          <w:tcPr>
            <w:tcW w:w="4463" w:type="pct"/>
            <w:gridSpan w:val="6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门诊楼UPS电源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位置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配电箱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UPS容量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品牌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数量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单位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报价</w:t>
            </w: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 w:val="restar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门诊一楼(1#)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1APE1-JZ2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30KVA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1APE1-QJ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20KVA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 w:val="restar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门诊二楼(1#)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AFAPE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20KVA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000000" w:fill="FFFFFF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消防监控室</w:t>
            </w:r>
          </w:p>
        </w:tc>
        <w:tc>
          <w:tcPr>
            <w:tcW w:w="635" w:type="pct"/>
            <w:shd w:val="clear" w:color="000000" w:fill="FFFFFF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20KVA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伊顿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2APE1-JZ2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30KVA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 w:val="restar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门诊四楼(1#)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4APE1-RD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4APE1-SY2(4MAPLX2)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30KVA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门诊五楼(1#)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5APE1-SZ1(5SZAP)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100KVA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门诊屋面(2#)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WAPE2-RD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 w:val="restar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门诊一楼(3#)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1APE3-RD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1APE3-MZSF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30KVA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 w:val="restar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地下室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B1APE6-RD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30KVA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B1APE7-RD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30KVA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 w:val="restar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医技一楼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1APE4-RD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1APE5-RD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 w:val="restar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医技四楼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4APE4-SS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100KVA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艾默生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vMerge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4APE7-ICU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100KVA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住院楼A栋1F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1APE8-RD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住院楼A栋7F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7APE8-RD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住院楼B栋1F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1APE9-RD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住院楼B栋2F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2APE9-WL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150K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伊顿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住院楼B栋4F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4APE10-FM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住院楼B栋5F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5APE10-ICU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120KVA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住院楼B栋6F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6APE9-RD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住院楼B栋11F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11APE9-RD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住院楼C栋1F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1APE10-RD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40KVA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住院楼C栋6F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6APE10-RD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60KVA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住院楼C栋12F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12APE10-RD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80KVA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施耐德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1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医技二楼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2APE5-JY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30KVA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伊顿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  <w:tr w:rsidR="00DA584C" w:rsidRPr="00200C21" w:rsidTr="00FA68E2">
        <w:trPr>
          <w:trHeight w:val="300"/>
        </w:trPr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合计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  <w:r w:rsidRPr="00200C21"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A584C" w:rsidRPr="00200C21" w:rsidRDefault="00DA584C" w:rsidP="00DA584C">
            <w:pPr>
              <w:pStyle w:val="ac"/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DA584C" w:rsidRDefault="00DA584C" w:rsidP="00DA584C">
      <w:pPr>
        <w:pStyle w:val="ac"/>
      </w:pPr>
    </w:p>
    <w:p w:rsidR="00DA584C" w:rsidRDefault="00DA584C" w:rsidP="00DA584C">
      <w:pPr>
        <w:pStyle w:val="ac"/>
        <w:rPr>
          <w:rFonts w:hint="eastAsia"/>
        </w:rPr>
      </w:pPr>
    </w:p>
    <w:p w:rsidR="00ED0546" w:rsidRPr="003F00A0" w:rsidRDefault="00DA584C" w:rsidP="00DA584C">
      <w:pPr>
        <w:pStyle w:val="ac"/>
        <w:rPr>
          <w:rFonts w:hint="eastAsia"/>
          <w:bCs/>
          <w:sz w:val="28"/>
          <w:szCs w:val="28"/>
        </w:rPr>
      </w:pPr>
      <w:r w:rsidRPr="003F00A0">
        <w:rPr>
          <w:rFonts w:hint="eastAsia"/>
          <w:bCs/>
          <w:sz w:val="28"/>
          <w:szCs w:val="28"/>
        </w:rPr>
        <w:t>二、</w:t>
      </w:r>
      <w:r w:rsidR="00ED0546" w:rsidRPr="003F00A0">
        <w:rPr>
          <w:rFonts w:hint="eastAsia"/>
          <w:bCs/>
          <w:sz w:val="28"/>
          <w:szCs w:val="28"/>
        </w:rPr>
        <w:t>维保服务要求：</w:t>
      </w:r>
    </w:p>
    <w:p w:rsidR="00ED0546" w:rsidRPr="003F00A0" w:rsidRDefault="00DA584C" w:rsidP="00ED0546">
      <w:pPr>
        <w:pStyle w:val="ac"/>
        <w:rPr>
          <w:rFonts w:hint="eastAsia"/>
          <w:bCs/>
          <w:sz w:val="28"/>
          <w:szCs w:val="28"/>
        </w:rPr>
      </w:pPr>
      <w:r w:rsidRPr="003F00A0">
        <w:rPr>
          <w:bCs/>
          <w:sz w:val="28"/>
          <w:szCs w:val="28"/>
        </w:rPr>
        <w:t>1</w:t>
      </w:r>
      <w:r w:rsidRPr="003F00A0">
        <w:rPr>
          <w:rFonts w:hint="eastAsia"/>
          <w:bCs/>
          <w:sz w:val="28"/>
          <w:szCs w:val="28"/>
        </w:rPr>
        <w:t>、一年</w:t>
      </w:r>
      <w:r w:rsidRPr="003F00A0">
        <w:rPr>
          <w:rFonts w:hint="eastAsia"/>
          <w:bCs/>
          <w:sz w:val="28"/>
          <w:szCs w:val="28"/>
        </w:rPr>
        <w:t>4</w:t>
      </w:r>
      <w:r w:rsidRPr="003F00A0">
        <w:rPr>
          <w:rFonts w:hint="eastAsia"/>
          <w:bCs/>
          <w:sz w:val="28"/>
          <w:szCs w:val="28"/>
        </w:rPr>
        <w:t>次年度预防性维护性保养，出具巡检报告。</w:t>
      </w:r>
    </w:p>
    <w:p w:rsidR="00DA584C" w:rsidRPr="003F00A0" w:rsidRDefault="00DA584C" w:rsidP="00ED0546">
      <w:pPr>
        <w:pStyle w:val="ac"/>
        <w:rPr>
          <w:rFonts w:hint="eastAsia"/>
          <w:bCs/>
          <w:sz w:val="28"/>
          <w:szCs w:val="28"/>
        </w:rPr>
      </w:pPr>
      <w:r w:rsidRPr="003F00A0">
        <w:rPr>
          <w:bCs/>
          <w:sz w:val="28"/>
          <w:szCs w:val="28"/>
        </w:rPr>
        <w:t>2</w:t>
      </w:r>
      <w:r w:rsidRPr="003F00A0">
        <w:rPr>
          <w:rFonts w:hint="eastAsia"/>
          <w:bCs/>
          <w:sz w:val="28"/>
          <w:szCs w:val="28"/>
        </w:rPr>
        <w:t>、包括</w:t>
      </w:r>
      <w:r w:rsidRPr="003F00A0">
        <w:rPr>
          <w:rFonts w:hint="eastAsia"/>
          <w:bCs/>
          <w:sz w:val="28"/>
          <w:szCs w:val="28"/>
        </w:rPr>
        <w:t>UPS</w:t>
      </w:r>
      <w:r w:rsidRPr="003F00A0">
        <w:rPr>
          <w:rFonts w:hint="eastAsia"/>
          <w:bCs/>
          <w:sz w:val="28"/>
          <w:szCs w:val="28"/>
        </w:rPr>
        <w:t>设备清单中任意一台</w:t>
      </w:r>
      <w:r w:rsidRPr="003F00A0">
        <w:rPr>
          <w:rFonts w:hint="eastAsia"/>
          <w:bCs/>
          <w:sz w:val="28"/>
          <w:szCs w:val="28"/>
        </w:rPr>
        <w:t>UPS</w:t>
      </w:r>
      <w:r w:rsidRPr="003F00A0">
        <w:rPr>
          <w:rFonts w:hint="eastAsia"/>
          <w:bCs/>
          <w:sz w:val="28"/>
          <w:szCs w:val="28"/>
        </w:rPr>
        <w:t>损坏后的备件维修。（不包含铅酸蓄电池）</w:t>
      </w:r>
      <w:r w:rsidRPr="003F00A0">
        <w:rPr>
          <w:rFonts w:hint="eastAsia"/>
          <w:bCs/>
          <w:sz w:val="28"/>
          <w:szCs w:val="28"/>
        </w:rPr>
        <w:t xml:space="preserve"> </w:t>
      </w:r>
    </w:p>
    <w:p w:rsidR="00DA584C" w:rsidRPr="003F00A0" w:rsidRDefault="00DA584C" w:rsidP="00ED0546">
      <w:pPr>
        <w:pStyle w:val="ac"/>
        <w:rPr>
          <w:rFonts w:hint="eastAsia"/>
          <w:bCs/>
          <w:sz w:val="28"/>
          <w:szCs w:val="28"/>
        </w:rPr>
      </w:pPr>
      <w:r w:rsidRPr="003F00A0">
        <w:rPr>
          <w:bCs/>
          <w:sz w:val="28"/>
          <w:szCs w:val="28"/>
        </w:rPr>
        <w:lastRenderedPageBreak/>
        <w:t>3</w:t>
      </w:r>
      <w:r w:rsidRPr="003F00A0">
        <w:rPr>
          <w:rFonts w:hint="eastAsia"/>
          <w:bCs/>
          <w:sz w:val="28"/>
          <w:szCs w:val="28"/>
        </w:rPr>
        <w:t>、</w:t>
      </w:r>
      <w:r w:rsidR="00ED0546" w:rsidRPr="003F00A0">
        <w:rPr>
          <w:rFonts w:hint="eastAsia"/>
          <w:bCs/>
          <w:sz w:val="28"/>
          <w:szCs w:val="28"/>
        </w:rPr>
        <w:t>报价需含税并</w:t>
      </w:r>
      <w:r w:rsidRPr="003F00A0">
        <w:rPr>
          <w:rFonts w:hint="eastAsia"/>
          <w:bCs/>
          <w:sz w:val="28"/>
          <w:szCs w:val="28"/>
        </w:rPr>
        <w:t>包含人工</w:t>
      </w:r>
      <w:r w:rsidR="00ED0546" w:rsidRPr="003F00A0">
        <w:rPr>
          <w:rFonts w:hint="eastAsia"/>
          <w:bCs/>
          <w:sz w:val="28"/>
          <w:szCs w:val="28"/>
        </w:rPr>
        <w:t>费</w:t>
      </w:r>
      <w:r w:rsidRPr="003F00A0">
        <w:rPr>
          <w:rFonts w:hint="eastAsia"/>
          <w:bCs/>
          <w:sz w:val="28"/>
          <w:szCs w:val="28"/>
        </w:rPr>
        <w:t>和差旅费</w:t>
      </w:r>
      <w:r w:rsidR="00ED0546" w:rsidRPr="003F00A0">
        <w:rPr>
          <w:rFonts w:hint="eastAsia"/>
          <w:bCs/>
          <w:sz w:val="28"/>
          <w:szCs w:val="28"/>
        </w:rPr>
        <w:t>等一切费用。</w:t>
      </w:r>
    </w:p>
    <w:p w:rsidR="00DA584C" w:rsidRPr="003F00A0" w:rsidRDefault="00DA584C" w:rsidP="00ED0546">
      <w:pPr>
        <w:pStyle w:val="ac"/>
        <w:rPr>
          <w:bCs/>
          <w:sz w:val="28"/>
          <w:szCs w:val="28"/>
        </w:rPr>
      </w:pPr>
      <w:r w:rsidRPr="003F00A0">
        <w:rPr>
          <w:bCs/>
          <w:sz w:val="28"/>
          <w:szCs w:val="28"/>
        </w:rPr>
        <w:t>4</w:t>
      </w:r>
      <w:r w:rsidRPr="003F00A0">
        <w:rPr>
          <w:rFonts w:hint="eastAsia"/>
          <w:bCs/>
          <w:sz w:val="28"/>
          <w:szCs w:val="28"/>
        </w:rPr>
        <w:t>、提供</w:t>
      </w:r>
      <w:r w:rsidRPr="003F00A0">
        <w:rPr>
          <w:rFonts w:hint="eastAsia"/>
          <w:bCs/>
          <w:sz w:val="28"/>
          <w:szCs w:val="28"/>
        </w:rPr>
        <w:t>24</w:t>
      </w:r>
      <w:r w:rsidRPr="003F00A0">
        <w:rPr>
          <w:rFonts w:hint="eastAsia"/>
          <w:bCs/>
          <w:sz w:val="28"/>
          <w:szCs w:val="28"/>
        </w:rPr>
        <w:t>小时电话技术支持</w:t>
      </w:r>
    </w:p>
    <w:p w:rsidR="00ED0546" w:rsidRPr="003F00A0" w:rsidRDefault="00DA584C" w:rsidP="00ED0546">
      <w:pPr>
        <w:pStyle w:val="ac"/>
        <w:rPr>
          <w:rFonts w:hint="eastAsia"/>
          <w:bCs/>
          <w:sz w:val="28"/>
          <w:szCs w:val="28"/>
        </w:rPr>
      </w:pPr>
      <w:r w:rsidRPr="003F00A0">
        <w:rPr>
          <w:rFonts w:hint="eastAsia"/>
          <w:bCs/>
          <w:sz w:val="28"/>
          <w:szCs w:val="28"/>
        </w:rPr>
        <w:t>5</w:t>
      </w:r>
      <w:r w:rsidRPr="003F00A0">
        <w:rPr>
          <w:rFonts w:hint="eastAsia"/>
          <w:bCs/>
          <w:sz w:val="28"/>
          <w:szCs w:val="28"/>
        </w:rPr>
        <w:t>、包含</w:t>
      </w:r>
      <w:r w:rsidRPr="003F00A0">
        <w:rPr>
          <w:rFonts w:hint="eastAsia"/>
          <w:bCs/>
          <w:sz w:val="28"/>
          <w:szCs w:val="28"/>
        </w:rPr>
        <w:t>UPS</w:t>
      </w:r>
      <w:r w:rsidRPr="003F00A0">
        <w:rPr>
          <w:rFonts w:hint="eastAsia"/>
          <w:bCs/>
          <w:sz w:val="28"/>
          <w:szCs w:val="28"/>
        </w:rPr>
        <w:t>易损件（防尘滤网）</w:t>
      </w:r>
      <w:r w:rsidR="00ED0546" w:rsidRPr="003F00A0">
        <w:rPr>
          <w:rFonts w:hint="eastAsia"/>
          <w:bCs/>
          <w:sz w:val="28"/>
          <w:szCs w:val="28"/>
        </w:rPr>
        <w:t>。</w:t>
      </w:r>
    </w:p>
    <w:p w:rsidR="00DA584C" w:rsidRDefault="008057B2" w:rsidP="00DA584C">
      <w:pPr>
        <w:pStyle w:val="ac"/>
        <w:rPr>
          <w:rFonts w:hint="eastAsia"/>
        </w:rPr>
      </w:pPr>
      <w:r w:rsidRPr="003F00A0">
        <w:rPr>
          <w:rFonts w:hint="eastAsia"/>
          <w:sz w:val="28"/>
          <w:szCs w:val="28"/>
        </w:rPr>
        <w:t>6</w:t>
      </w:r>
      <w:r w:rsidRPr="003F00A0">
        <w:rPr>
          <w:rFonts w:hint="eastAsia"/>
          <w:sz w:val="28"/>
          <w:szCs w:val="28"/>
        </w:rPr>
        <w:t>、</w:t>
      </w:r>
      <w:r w:rsidR="00DA584C" w:rsidRPr="003F00A0">
        <w:rPr>
          <w:rFonts w:hint="eastAsia"/>
          <w:sz w:val="28"/>
          <w:szCs w:val="28"/>
        </w:rPr>
        <w:t>在</w:t>
      </w:r>
      <w:r w:rsidR="00F72972" w:rsidRPr="003F00A0">
        <w:rPr>
          <w:rFonts w:hint="eastAsia"/>
          <w:sz w:val="28"/>
          <w:szCs w:val="28"/>
        </w:rPr>
        <w:t>合同期内</w:t>
      </w:r>
      <w:r w:rsidR="00DA584C" w:rsidRPr="003F00A0">
        <w:rPr>
          <w:rFonts w:hint="eastAsia"/>
          <w:sz w:val="28"/>
          <w:szCs w:val="28"/>
        </w:rPr>
        <w:t>正常使用的</w:t>
      </w:r>
      <w:r w:rsidR="00DA584C" w:rsidRPr="003F00A0">
        <w:rPr>
          <w:rFonts w:hint="eastAsia"/>
          <w:sz w:val="28"/>
          <w:szCs w:val="28"/>
        </w:rPr>
        <w:t>2</w:t>
      </w:r>
      <w:r w:rsidR="00DA584C" w:rsidRPr="003F00A0">
        <w:rPr>
          <w:sz w:val="28"/>
          <w:szCs w:val="28"/>
        </w:rPr>
        <w:t>9</w:t>
      </w:r>
      <w:r w:rsidR="00DA584C" w:rsidRPr="003F00A0">
        <w:rPr>
          <w:rFonts w:hint="eastAsia"/>
          <w:sz w:val="28"/>
          <w:szCs w:val="28"/>
        </w:rPr>
        <w:t>台（施耐德、维谛、伊顿）</w:t>
      </w:r>
      <w:r w:rsidR="00DA584C" w:rsidRPr="003F00A0">
        <w:rPr>
          <w:rFonts w:hint="eastAsia"/>
          <w:sz w:val="28"/>
          <w:szCs w:val="28"/>
        </w:rPr>
        <w:t>UPS</w:t>
      </w:r>
      <w:r w:rsidR="00DA584C" w:rsidRPr="003F00A0">
        <w:rPr>
          <w:rFonts w:hint="eastAsia"/>
          <w:sz w:val="28"/>
          <w:szCs w:val="28"/>
        </w:rPr>
        <w:t>不间断电源，在维保期间，非人为因素造成</w:t>
      </w:r>
      <w:r w:rsidR="00DA584C" w:rsidRPr="003F00A0">
        <w:rPr>
          <w:rFonts w:hint="eastAsia"/>
          <w:sz w:val="28"/>
          <w:szCs w:val="28"/>
        </w:rPr>
        <w:t>UPS</w:t>
      </w:r>
      <w:r w:rsidR="00DA584C" w:rsidRPr="003F00A0">
        <w:rPr>
          <w:rFonts w:hint="eastAsia"/>
          <w:sz w:val="28"/>
          <w:szCs w:val="28"/>
        </w:rPr>
        <w:t>故障或损坏</w:t>
      </w:r>
      <w:r w:rsidR="00F72972" w:rsidRPr="003F00A0">
        <w:rPr>
          <w:rFonts w:hint="eastAsia"/>
          <w:sz w:val="28"/>
          <w:szCs w:val="28"/>
        </w:rPr>
        <w:t>由服务单位</w:t>
      </w:r>
      <w:r w:rsidR="00DA584C" w:rsidRPr="003F00A0">
        <w:rPr>
          <w:rFonts w:hint="eastAsia"/>
          <w:sz w:val="28"/>
          <w:szCs w:val="28"/>
        </w:rPr>
        <w:t>承担其中任意优先损坏的一台</w:t>
      </w:r>
      <w:r w:rsidR="00DA584C" w:rsidRPr="003F00A0">
        <w:rPr>
          <w:rFonts w:hint="eastAsia"/>
          <w:sz w:val="28"/>
          <w:szCs w:val="28"/>
        </w:rPr>
        <w:t>UPS</w:t>
      </w:r>
      <w:r w:rsidR="00DA584C" w:rsidRPr="003F00A0">
        <w:rPr>
          <w:rFonts w:hint="eastAsia"/>
          <w:sz w:val="28"/>
          <w:szCs w:val="28"/>
        </w:rPr>
        <w:t>备品备件维修至正常使用。</w:t>
      </w:r>
    </w:p>
    <w:p w:rsidR="00DA584C" w:rsidRPr="00DA5D2C" w:rsidRDefault="00DA584C" w:rsidP="00DA584C">
      <w:pPr>
        <w:pStyle w:val="ac"/>
        <w:rPr>
          <w:rFonts w:hint="eastAsia"/>
        </w:rPr>
      </w:pPr>
    </w:p>
    <w:p w:rsidR="00922AFF" w:rsidRDefault="00922AFF" w:rsidP="00DA584C">
      <w:pPr>
        <w:pStyle w:val="ac"/>
        <w:rPr>
          <w:rFonts w:hint="eastAsia"/>
        </w:rPr>
      </w:pPr>
      <w:r>
        <w:rPr>
          <w:rFonts w:hint="eastAsia"/>
        </w:rPr>
        <w:t>三、备件价格清单：</w:t>
      </w:r>
    </w:p>
    <w:p w:rsidR="00DA584C" w:rsidRDefault="00922AFF" w:rsidP="00DA584C">
      <w:pPr>
        <w:pStyle w:val="ac"/>
      </w:pPr>
      <w:r>
        <w:rPr>
          <w:rFonts w:hint="eastAsia"/>
        </w:rPr>
        <w:t>3.1</w:t>
      </w:r>
      <w:r w:rsidR="00DA584C">
        <w:rPr>
          <w:rFonts w:hint="eastAsia"/>
        </w:rPr>
        <w:t>施耐德</w:t>
      </w:r>
      <w:r w:rsidR="00DA584C">
        <w:rPr>
          <w:rFonts w:hint="eastAsia"/>
        </w:rPr>
        <w:t>1</w:t>
      </w:r>
      <w:r w:rsidR="00DA584C">
        <w:t>00</w:t>
      </w:r>
      <w:r w:rsidR="00DA584C">
        <w:rPr>
          <w:rFonts w:hint="eastAsia"/>
        </w:rPr>
        <w:t>K-</w:t>
      </w:r>
      <w:r w:rsidR="00DA584C">
        <w:t>120</w:t>
      </w:r>
      <w:r w:rsidR="00DA584C">
        <w:rPr>
          <w:rFonts w:hint="eastAsia"/>
        </w:rPr>
        <w:t>K</w:t>
      </w:r>
      <w:r w:rsidR="00DA584C">
        <w:rPr>
          <w:rFonts w:hint="eastAsia"/>
        </w:rPr>
        <w:t>的备件价格清单</w:t>
      </w:r>
    </w:p>
    <w:tbl>
      <w:tblPr>
        <w:tblW w:w="5000" w:type="pct"/>
        <w:tblLook w:val="04A0"/>
      </w:tblPr>
      <w:tblGrid>
        <w:gridCol w:w="1545"/>
        <w:gridCol w:w="2524"/>
        <w:gridCol w:w="1365"/>
        <w:gridCol w:w="1544"/>
        <w:gridCol w:w="1544"/>
      </w:tblGrid>
      <w:tr w:rsidR="00DA584C" w:rsidRPr="009139C0" w:rsidTr="00FA68E2">
        <w:trPr>
          <w:trHeight w:val="28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设备名称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单价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</w:tr>
      <w:tr w:rsidR="00DA584C" w:rsidRPr="009139C0" w:rsidTr="00FA68E2">
        <w:trPr>
          <w:trHeight w:val="56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整流驱动板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整流套件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56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逆变驱动板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IGBT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整流器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56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辅助电源板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电源板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主控板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直流电容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33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SCR模组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断路器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DA584C" w:rsidRDefault="00DA584C" w:rsidP="00DA584C">
      <w:pPr>
        <w:pStyle w:val="ac"/>
      </w:pPr>
    </w:p>
    <w:p w:rsidR="00DA584C" w:rsidRDefault="00DA584C" w:rsidP="00DA584C">
      <w:pPr>
        <w:pStyle w:val="ac"/>
      </w:pPr>
      <w:r>
        <w:t xml:space="preserve">3.2  </w:t>
      </w:r>
      <w:r>
        <w:rPr>
          <w:rFonts w:hint="eastAsia"/>
        </w:rPr>
        <w:t>施耐德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K-8</w:t>
      </w:r>
      <w:r>
        <w:t>0</w:t>
      </w:r>
      <w:r>
        <w:rPr>
          <w:rFonts w:hint="eastAsia"/>
        </w:rPr>
        <w:t>K</w:t>
      </w:r>
      <w:r>
        <w:rPr>
          <w:rFonts w:hint="eastAsia"/>
        </w:rPr>
        <w:t>的备件价格清单</w:t>
      </w:r>
    </w:p>
    <w:tbl>
      <w:tblPr>
        <w:tblW w:w="5000" w:type="pct"/>
        <w:tblLook w:val="04A0"/>
      </w:tblPr>
      <w:tblGrid>
        <w:gridCol w:w="1705"/>
        <w:gridCol w:w="1705"/>
        <w:gridCol w:w="1704"/>
        <w:gridCol w:w="1704"/>
        <w:gridCol w:w="1704"/>
      </w:tblGrid>
      <w:tr w:rsidR="00DA584C" w:rsidRPr="009139C0" w:rsidTr="00FA68E2">
        <w:trPr>
          <w:trHeight w:val="2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设备名称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单价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</w:tr>
      <w:tr w:rsidR="00DA584C" w:rsidRPr="009139C0" w:rsidTr="00FA68E2">
        <w:trPr>
          <w:trHeight w:val="56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整流驱动板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整流套件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56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逆变驱动板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IGBT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整流器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56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辅助电源板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电源板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主控板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直流电容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CB53AF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CB53AF">
              <w:rPr>
                <w:rFonts w:ascii="宋体" w:hAnsi="宋体" w:cs="宋体" w:hint="eastAsia"/>
                <w:color w:val="000000"/>
                <w:sz w:val="22"/>
                <w:szCs w:val="22"/>
              </w:rPr>
              <w:t>SCR模组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断路器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DA584C" w:rsidRDefault="00DA584C" w:rsidP="00DA584C">
      <w:pPr>
        <w:pStyle w:val="ac"/>
      </w:pPr>
    </w:p>
    <w:p w:rsidR="00DA584C" w:rsidRDefault="00DA584C" w:rsidP="00DA584C">
      <w:pPr>
        <w:pStyle w:val="ac"/>
      </w:pPr>
      <w:r>
        <w:t xml:space="preserve">3.3   </w:t>
      </w:r>
      <w:r>
        <w:rPr>
          <w:rFonts w:hint="eastAsia"/>
        </w:rPr>
        <w:t>施耐德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K-4</w:t>
      </w:r>
      <w:r>
        <w:t>0</w:t>
      </w:r>
      <w:r>
        <w:rPr>
          <w:rFonts w:hint="eastAsia"/>
        </w:rPr>
        <w:t>K</w:t>
      </w:r>
      <w:r>
        <w:rPr>
          <w:rFonts w:hint="eastAsia"/>
        </w:rPr>
        <w:t>的备件价格清单</w:t>
      </w:r>
    </w:p>
    <w:tbl>
      <w:tblPr>
        <w:tblW w:w="5000" w:type="pct"/>
        <w:tblLook w:val="04A0"/>
      </w:tblPr>
      <w:tblGrid>
        <w:gridCol w:w="1545"/>
        <w:gridCol w:w="2524"/>
        <w:gridCol w:w="1365"/>
        <w:gridCol w:w="1544"/>
        <w:gridCol w:w="1544"/>
      </w:tblGrid>
      <w:tr w:rsidR="00DA584C" w:rsidRPr="009139C0" w:rsidTr="00FA68E2">
        <w:trPr>
          <w:trHeight w:val="28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设备名称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整流驱动板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整流套件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逆变驱动板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IGBT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整流器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辅助电源板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电源板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主控板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直流电容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33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CB53AF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CB53AF">
              <w:rPr>
                <w:rFonts w:ascii="宋体" w:hAnsi="宋体" w:cs="宋体" w:hint="eastAsia"/>
                <w:color w:val="000000"/>
                <w:sz w:val="22"/>
                <w:szCs w:val="22"/>
              </w:rPr>
              <w:t>SCR模组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</w:rPr>
              <w:t>断路器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9139C0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A584C" w:rsidRPr="009139C0" w:rsidTr="00FA68E2">
        <w:trPr>
          <w:trHeight w:val="2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139C0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4C" w:rsidRPr="009139C0" w:rsidRDefault="00DA584C" w:rsidP="00DA584C">
            <w:pPr>
              <w:pStyle w:val="ac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DA584C" w:rsidRDefault="00DA584C" w:rsidP="00DA584C">
      <w:pPr>
        <w:pStyle w:val="ac"/>
      </w:pPr>
    </w:p>
    <w:sectPr w:rsidR="00DA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C4" w:rsidRDefault="00C735C4" w:rsidP="00DA584C">
      <w:r>
        <w:separator/>
      </w:r>
    </w:p>
  </w:endnote>
  <w:endnote w:type="continuationSeparator" w:id="1">
    <w:p w:rsidR="00C735C4" w:rsidRDefault="00C735C4" w:rsidP="00DA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C4" w:rsidRDefault="00C735C4" w:rsidP="00DA584C">
      <w:r>
        <w:separator/>
      </w:r>
    </w:p>
  </w:footnote>
  <w:footnote w:type="continuationSeparator" w:id="1">
    <w:p w:rsidR="00C735C4" w:rsidRDefault="00C735C4" w:rsidP="00DA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CFE"/>
    <w:multiLevelType w:val="hybridMultilevel"/>
    <w:tmpl w:val="3E581B62"/>
    <w:lvl w:ilvl="0" w:tplc="D804944A">
      <w:start w:val="1"/>
      <w:numFmt w:val="decimal"/>
      <w:lvlText w:val="%1"/>
      <w:lvlJc w:val="left"/>
      <w:pPr>
        <w:tabs>
          <w:tab w:val="num" w:pos="240"/>
        </w:tabs>
        <w:ind w:left="2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8400594"/>
    <w:multiLevelType w:val="hybridMultilevel"/>
    <w:tmpl w:val="753CE5B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2FE24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60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C6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0C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AA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E7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C8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C1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9055F"/>
    <w:multiLevelType w:val="hybridMultilevel"/>
    <w:tmpl w:val="83D4EBA6"/>
    <w:lvl w:ilvl="0" w:tplc="AEE06A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7F4C95"/>
    <w:multiLevelType w:val="multilevel"/>
    <w:tmpl w:val="4546EBB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76DE"/>
    <w:multiLevelType w:val="hybridMultilevel"/>
    <w:tmpl w:val="915872FC"/>
    <w:lvl w:ilvl="0" w:tplc="F150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A1A6EF6"/>
    <w:multiLevelType w:val="hybridMultilevel"/>
    <w:tmpl w:val="9FC4A472"/>
    <w:lvl w:ilvl="0" w:tplc="5A90C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C0A2E"/>
    <w:multiLevelType w:val="hybridMultilevel"/>
    <w:tmpl w:val="2DC65024"/>
    <w:lvl w:ilvl="0" w:tplc="55B6A49A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328B2A09"/>
    <w:multiLevelType w:val="hybridMultilevel"/>
    <w:tmpl w:val="9C027B3C"/>
    <w:lvl w:ilvl="0" w:tplc="0409000D">
      <w:start w:val="1"/>
      <w:numFmt w:val="bullet"/>
      <w:lvlText w:val="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8">
    <w:nsid w:val="3D825512"/>
    <w:multiLevelType w:val="hybridMultilevel"/>
    <w:tmpl w:val="2FDEB2B4"/>
    <w:lvl w:ilvl="0" w:tplc="ECAE5D4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B75159"/>
    <w:multiLevelType w:val="hybridMultilevel"/>
    <w:tmpl w:val="1A08E8A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36139"/>
    <w:multiLevelType w:val="hybridMultilevel"/>
    <w:tmpl w:val="A30C909C"/>
    <w:lvl w:ilvl="0" w:tplc="A066FBD4">
      <w:start w:val="3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752"/>
    <w:multiLevelType w:val="hybridMultilevel"/>
    <w:tmpl w:val="75083B86"/>
    <w:lvl w:ilvl="0" w:tplc="72FC8F22">
      <w:start w:val="1"/>
      <w:numFmt w:val="decimal"/>
      <w:lvlText w:val="%1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>
    <w:nsid w:val="4E7C24FC"/>
    <w:multiLevelType w:val="hybridMultilevel"/>
    <w:tmpl w:val="E9DEA214"/>
    <w:lvl w:ilvl="0" w:tplc="5A3E673C">
      <w:start w:val="1"/>
      <w:numFmt w:val="japaneseCounting"/>
      <w:lvlText w:val="%1、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553924E8"/>
    <w:multiLevelType w:val="hybridMultilevel"/>
    <w:tmpl w:val="0A2699D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2037A"/>
    <w:multiLevelType w:val="hybridMultilevel"/>
    <w:tmpl w:val="20282676"/>
    <w:lvl w:ilvl="0" w:tplc="FA18F9A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60197B18"/>
    <w:multiLevelType w:val="hybridMultilevel"/>
    <w:tmpl w:val="2398F496"/>
    <w:lvl w:ilvl="0" w:tplc="E4BA568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AC00FB6"/>
    <w:multiLevelType w:val="hybridMultilevel"/>
    <w:tmpl w:val="2474C2F0"/>
    <w:lvl w:ilvl="0" w:tplc="A22AB884">
      <w:start w:val="1"/>
      <w:numFmt w:val="decimalEnclosedCircle"/>
      <w:lvlText w:val="%1."/>
      <w:lvlJc w:val="left"/>
      <w:pPr>
        <w:ind w:left="825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B7F7C08"/>
    <w:multiLevelType w:val="hybridMultilevel"/>
    <w:tmpl w:val="BB764FE2"/>
    <w:lvl w:ilvl="0" w:tplc="776CF578">
      <w:start w:val="1"/>
      <w:numFmt w:val="decimalEnclosedCircle"/>
      <w:lvlText w:val="%1."/>
      <w:lvlJc w:val="left"/>
      <w:pPr>
        <w:ind w:left="1065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16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84C"/>
    <w:rsid w:val="001C23EF"/>
    <w:rsid w:val="003F00A0"/>
    <w:rsid w:val="008057B2"/>
    <w:rsid w:val="008960B4"/>
    <w:rsid w:val="00922AFF"/>
    <w:rsid w:val="00C735C4"/>
    <w:rsid w:val="00DA584C"/>
    <w:rsid w:val="00ED0546"/>
    <w:rsid w:val="00F7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4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A584C"/>
    <w:pPr>
      <w:keepNext/>
      <w:spacing w:line="400" w:lineRule="exact"/>
      <w:jc w:val="center"/>
      <w:outlineLvl w:val="0"/>
    </w:pPr>
    <w:rPr>
      <w:rFonts w:ascii="宋体" w:hAnsi="宋体" w:cs="Arial"/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A58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DA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84C"/>
    <w:rPr>
      <w:sz w:val="18"/>
      <w:szCs w:val="18"/>
    </w:rPr>
  </w:style>
  <w:style w:type="paragraph" w:styleId="a4">
    <w:name w:val="footer"/>
    <w:basedOn w:val="a"/>
    <w:link w:val="Char0"/>
    <w:unhideWhenUsed/>
    <w:rsid w:val="00DA58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8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584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DA58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5">
    <w:name w:val="Salutation"/>
    <w:basedOn w:val="a"/>
    <w:next w:val="a"/>
    <w:link w:val="Char1"/>
    <w:rsid w:val="00DA584C"/>
    <w:rPr>
      <w:rFonts w:ascii="Arial" w:hAnsi="Arial" w:cs="Arial"/>
    </w:rPr>
  </w:style>
  <w:style w:type="character" w:customStyle="1" w:styleId="Char1">
    <w:name w:val="称呼 Char"/>
    <w:basedOn w:val="a0"/>
    <w:link w:val="a5"/>
    <w:rsid w:val="00DA584C"/>
    <w:rPr>
      <w:rFonts w:ascii="Arial" w:eastAsia="宋体" w:hAnsi="Arial" w:cs="Arial"/>
      <w:kern w:val="0"/>
      <w:sz w:val="24"/>
      <w:szCs w:val="24"/>
    </w:rPr>
  </w:style>
  <w:style w:type="paragraph" w:styleId="a6">
    <w:name w:val="Closing"/>
    <w:basedOn w:val="a"/>
    <w:link w:val="Char2"/>
    <w:rsid w:val="00DA584C"/>
    <w:pPr>
      <w:ind w:left="4320"/>
    </w:pPr>
    <w:rPr>
      <w:rFonts w:ascii="Arial" w:hAnsi="Arial" w:cs="Arial"/>
    </w:rPr>
  </w:style>
  <w:style w:type="character" w:customStyle="1" w:styleId="Char2">
    <w:name w:val="结束语 Char"/>
    <w:basedOn w:val="a0"/>
    <w:link w:val="a6"/>
    <w:rsid w:val="00DA584C"/>
    <w:rPr>
      <w:rFonts w:ascii="Arial" w:eastAsia="宋体" w:hAnsi="Arial" w:cs="Arial"/>
      <w:kern w:val="0"/>
      <w:sz w:val="24"/>
      <w:szCs w:val="24"/>
    </w:rPr>
  </w:style>
  <w:style w:type="character" w:customStyle="1" w:styleId="a7">
    <w:name w:val="消息标题标签"/>
    <w:rsid w:val="00DA584C"/>
    <w:rPr>
      <w:rFonts w:ascii="Arial" w:hAnsi="Arial"/>
      <w:b/>
      <w:spacing w:val="-4"/>
      <w:sz w:val="18"/>
      <w:lang w:eastAsia="zh-CN"/>
    </w:rPr>
  </w:style>
  <w:style w:type="paragraph" w:styleId="a8">
    <w:name w:val="Plain Text"/>
    <w:basedOn w:val="a"/>
    <w:link w:val="Char3"/>
    <w:rsid w:val="00DA584C"/>
    <w:pPr>
      <w:widowControl w:val="0"/>
      <w:jc w:val="both"/>
    </w:pPr>
    <w:rPr>
      <w:rFonts w:ascii="宋体" w:hAnsi="Courier New"/>
      <w:kern w:val="2"/>
      <w:sz w:val="21"/>
      <w:szCs w:val="20"/>
    </w:rPr>
  </w:style>
  <w:style w:type="character" w:customStyle="1" w:styleId="Char3">
    <w:name w:val="纯文本 Char"/>
    <w:basedOn w:val="a0"/>
    <w:link w:val="a8"/>
    <w:rsid w:val="00DA584C"/>
    <w:rPr>
      <w:rFonts w:ascii="宋体" w:eastAsia="宋体" w:hAnsi="Courier New" w:cs="Times New Roman"/>
      <w:szCs w:val="20"/>
    </w:rPr>
  </w:style>
  <w:style w:type="paragraph" w:styleId="a9">
    <w:name w:val="Balloon Text"/>
    <w:basedOn w:val="a"/>
    <w:link w:val="Char4"/>
    <w:semiHidden/>
    <w:rsid w:val="00DA584C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DA584C"/>
    <w:rPr>
      <w:rFonts w:ascii="Times New Roman" w:eastAsia="宋体" w:hAnsi="Times New Roman" w:cs="Times New Roman"/>
      <w:kern w:val="0"/>
      <w:sz w:val="18"/>
      <w:szCs w:val="18"/>
    </w:rPr>
  </w:style>
  <w:style w:type="table" w:styleId="aa">
    <w:name w:val="Table Grid"/>
    <w:basedOn w:val="a1"/>
    <w:uiPriority w:val="99"/>
    <w:rsid w:val="00DA584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A584C"/>
    <w:rPr>
      <w:color w:val="0000FF"/>
      <w:u w:val="single"/>
    </w:rPr>
  </w:style>
  <w:style w:type="character" w:customStyle="1" w:styleId="10">
    <w:name w:val="标题 1 字符"/>
    <w:link w:val="1"/>
    <w:rsid w:val="00DA584C"/>
    <w:rPr>
      <w:rFonts w:ascii="宋体" w:eastAsia="宋体" w:hAnsi="宋体" w:cs="Arial"/>
      <w:b/>
      <w:bCs/>
      <w:kern w:val="0"/>
      <w:sz w:val="20"/>
      <w:szCs w:val="24"/>
    </w:rPr>
  </w:style>
  <w:style w:type="paragraph" w:customStyle="1" w:styleId="Normal">
    <w:name w:val="Normal"/>
    <w:rsid w:val="00DA584C"/>
    <w:pPr>
      <w:jc w:val="both"/>
    </w:pPr>
    <w:rPr>
      <w:rFonts w:ascii="宋体" w:eastAsia="宋体" w:hAnsi="宋体" w:cs="宋体"/>
      <w:szCs w:val="21"/>
    </w:rPr>
  </w:style>
  <w:style w:type="character" w:customStyle="1" w:styleId="ask-title">
    <w:name w:val="ask-title"/>
    <w:basedOn w:val="a0"/>
    <w:rsid w:val="00DA584C"/>
  </w:style>
  <w:style w:type="character" w:customStyle="1" w:styleId="30">
    <w:name w:val="标题 3 字符"/>
    <w:link w:val="3"/>
    <w:semiHidden/>
    <w:rsid w:val="00DA58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21">
    <w:name w:val="正文文本缩进 21"/>
    <w:basedOn w:val="a"/>
    <w:rsid w:val="00DA584C"/>
    <w:pPr>
      <w:widowControl w:val="0"/>
      <w:suppressAutoHyphens/>
      <w:ind w:firstLine="540"/>
      <w:jc w:val="both"/>
    </w:pPr>
    <w:rPr>
      <w:rFonts w:eastAsia="仿宋"/>
      <w:kern w:val="2"/>
      <w:sz w:val="21"/>
      <w:szCs w:val="21"/>
    </w:rPr>
  </w:style>
  <w:style w:type="character" w:customStyle="1" w:styleId="15">
    <w:name w:val="15"/>
    <w:rsid w:val="00DA584C"/>
    <w:rPr>
      <w:rFonts w:ascii="Cambria" w:eastAsia="宋体" w:hAnsi="Cambria" w:cs="Times New Roman" w:hint="default"/>
      <w:b/>
      <w:bCs/>
      <w:sz w:val="32"/>
      <w:szCs w:val="32"/>
    </w:rPr>
  </w:style>
  <w:style w:type="paragraph" w:customStyle="1" w:styleId="ListParagraph">
    <w:name w:val="List Paragraph"/>
    <w:basedOn w:val="a"/>
    <w:rsid w:val="00DA584C"/>
    <w:pPr>
      <w:widowControl w:val="0"/>
      <w:spacing w:line="300" w:lineRule="auto"/>
      <w:ind w:firstLineChars="200" w:firstLine="200"/>
      <w:jc w:val="both"/>
    </w:pPr>
    <w:rPr>
      <w:rFonts w:ascii="Calibri" w:eastAsia="仿宋" w:hAnsi="Calibri"/>
      <w:kern w:val="2"/>
    </w:rPr>
  </w:style>
  <w:style w:type="paragraph" w:customStyle="1" w:styleId="12">
    <w:name w:val="样式 目录 1 + 首行缩进:  2 字符"/>
    <w:basedOn w:val="a"/>
    <w:rsid w:val="00DA584C"/>
    <w:pPr>
      <w:widowControl w:val="0"/>
      <w:adjustRightInd w:val="0"/>
      <w:spacing w:line="300" w:lineRule="auto"/>
      <w:ind w:firstLine="560"/>
      <w:jc w:val="both"/>
      <w:textAlignment w:val="baseline"/>
    </w:pPr>
    <w:rPr>
      <w:rFonts w:eastAsia="黑体"/>
      <w:caps/>
      <w:color w:val="000000"/>
      <w:sz w:val="28"/>
      <w:szCs w:val="28"/>
    </w:rPr>
  </w:style>
  <w:style w:type="paragraph" w:styleId="ac">
    <w:name w:val="No Spacing"/>
    <w:uiPriority w:val="1"/>
    <w:qFormat/>
    <w:rsid w:val="00DA584C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孟庆羽</dc:creator>
  <cp:keywords/>
  <dc:description/>
  <cp:lastModifiedBy>孟庆羽</cp:lastModifiedBy>
  <cp:revision>5</cp:revision>
  <dcterms:created xsi:type="dcterms:W3CDTF">2021-05-12T08:10:00Z</dcterms:created>
  <dcterms:modified xsi:type="dcterms:W3CDTF">2021-05-12T08:19:00Z</dcterms:modified>
</cp:coreProperties>
</file>